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4F" w:rsidRPr="007B6AF1" w:rsidRDefault="005A7A4F" w:rsidP="005A7A4F">
      <w:pPr>
        <w:keepNext/>
        <w:spacing w:before="240" w:after="60" w:line="260" w:lineRule="atLeast"/>
        <w:outlineLvl w:val="0"/>
        <w:rPr>
          <w:rFonts w:cs="Arial"/>
          <w:b/>
          <w:bCs/>
          <w:kern w:val="32"/>
        </w:rPr>
      </w:pPr>
      <w:bookmarkStart w:id="0" w:name="_Toc460323380"/>
      <w:bookmarkStart w:id="1" w:name="_Toc460323678"/>
      <w:bookmarkStart w:id="2" w:name="_GoBack"/>
      <w:bookmarkEnd w:id="2"/>
      <w:r w:rsidRPr="007B6AF1">
        <w:rPr>
          <w:rFonts w:cs="Arial"/>
          <w:b/>
          <w:bCs/>
          <w:kern w:val="32"/>
        </w:rPr>
        <w:t>Samenvatting</w:t>
      </w:r>
      <w:bookmarkEnd w:id="0"/>
      <w:bookmarkEnd w:id="1"/>
      <w:r>
        <w:rPr>
          <w:rFonts w:cs="Arial"/>
          <w:b/>
          <w:bCs/>
          <w:kern w:val="32"/>
        </w:rPr>
        <w:t xml:space="preserve"> wetsvoorstel MRvNS</w:t>
      </w:r>
    </w:p>
    <w:p w:rsidR="005A7A4F" w:rsidRDefault="005A7A4F" w:rsidP="005A7A4F">
      <w:pPr>
        <w:spacing w:line="260" w:lineRule="atLeast"/>
      </w:pPr>
    </w:p>
    <w:p w:rsidR="005A7A4F" w:rsidRPr="007B6AF1" w:rsidRDefault="005A7A4F" w:rsidP="005A7A4F">
      <w:pPr>
        <w:spacing w:line="260" w:lineRule="atLeast"/>
      </w:pPr>
      <w:r w:rsidRPr="007B6AF1">
        <w:t xml:space="preserve">Onderwijs vormt kinderen en legt de basis voor de rest van hun leven. Het is daarom belangrijk dat leerlingen en hun ouders een school kunnen kiezen die bij hen past. Dankzij de vrijheid van onderwijs die verankerd is in artikel 23 Grondwet, kent het Nederlandse onderwijsstelsel een grote verscheidenheid aan goede scholen. </w:t>
      </w:r>
    </w:p>
    <w:p w:rsidR="005A7A4F" w:rsidRPr="007B6AF1" w:rsidRDefault="005A7A4F" w:rsidP="005A7A4F">
      <w:pPr>
        <w:spacing w:line="260" w:lineRule="atLeast"/>
      </w:pPr>
    </w:p>
    <w:p w:rsidR="005A7A4F" w:rsidRPr="007B6AF1" w:rsidRDefault="005A7A4F" w:rsidP="005A7A4F">
      <w:pPr>
        <w:spacing w:line="260" w:lineRule="atLeast"/>
      </w:pPr>
      <w:r w:rsidRPr="007B6AF1">
        <w:t xml:space="preserve">Op basis van artikel 23 Grondwet staat het </w:t>
      </w:r>
      <w:proofErr w:type="gramStart"/>
      <w:r w:rsidRPr="007B6AF1">
        <w:t>eenieder</w:t>
      </w:r>
      <w:proofErr w:type="gramEnd"/>
      <w:r w:rsidRPr="007B6AF1">
        <w:t xml:space="preserve"> vrij om een school op te richten en deze naar eigen overtuiging in te richten. Maar in de praktijk is het bijna onmogelijk om een nieuwe bekostigde school te beginnen, zeker als deze niet past binnen een bepaalde geloofs- of levensovertuiging. </w:t>
      </w:r>
      <w:r>
        <w:t xml:space="preserve">De reden hiervoor is dat het huidige systeem uitgaat van een min of meer vaststaande demografische belangstelling voor scholen van erkende richtingen. Hierdoor </w:t>
      </w:r>
      <w:r w:rsidRPr="007B6AF1">
        <w:t xml:space="preserve">mag een Boeddhistische school niet van start en een hindoeïstische school wel. </w:t>
      </w:r>
      <w:r>
        <w:t xml:space="preserve">Boeddhisme wordt namelijk niet als richting erkend. Ook </w:t>
      </w:r>
      <w:r w:rsidRPr="007B6AF1">
        <w:t xml:space="preserve">is het in Eindhoven niet mogelijk om een Montessori-vwo te starten, omdat er in de regio al Jenaplan-vwo en Dalton-vwo aanwezig is. </w:t>
      </w:r>
      <w:r>
        <w:t xml:space="preserve">Volgens het huidige systeem behoren deze namelijk tot dezelfde richting en zijn ze dus aan elkaar gelijk. En in </w:t>
      </w:r>
      <w:r w:rsidRPr="007B6AF1">
        <w:t xml:space="preserve">Tilburg </w:t>
      </w:r>
      <w:r>
        <w:t xml:space="preserve">kan een </w:t>
      </w:r>
      <w:r w:rsidRPr="007B6AF1">
        <w:t>initiatief</w:t>
      </w:r>
      <w:r>
        <w:t xml:space="preserve"> van een groep ouders</w:t>
      </w:r>
      <w:r w:rsidRPr="007B6AF1">
        <w:t xml:space="preserve"> voor een rooms-katholieke school niet gerealiseerd worden, omdat alle rooms-katholieke scholen als gelijk worden gezien. Tegelijkertijd is het in weer een andere gemeente zeer moeilijk gebleken om een door ouders gewenste openbare school te starten, omdat er van oudsher vooral behoefte was aan rooms-katholieke scholen. </w:t>
      </w:r>
      <w:r w:rsidRPr="007B6AF1" w:rsidDel="00BE055E">
        <w:t>De veronderstelde belangstelling voor een richting kan</w:t>
      </w:r>
      <w:r>
        <w:t xml:space="preserve"> dan ook</w:t>
      </w:r>
      <w:r w:rsidRPr="007B6AF1" w:rsidDel="00BE055E">
        <w:t xml:space="preserve"> echter sterk verschillen van de daadwerkelijke belangstelling voor een specifieke school.</w:t>
      </w:r>
      <w:r>
        <w:t xml:space="preserve"> </w:t>
      </w:r>
      <w:r w:rsidRPr="007B6AF1">
        <w:t>Hierdoor zit het onderwijsstelsel op slot, terwijl er op diverse plekken in het land wel behoefte is aan nieuwe initiatieven en uitbreiding van het onderwijsaanbod.</w:t>
      </w:r>
    </w:p>
    <w:p w:rsidR="005A7A4F" w:rsidRPr="007B6AF1" w:rsidRDefault="005A7A4F" w:rsidP="005A7A4F">
      <w:pPr>
        <w:spacing w:line="260" w:lineRule="atLeast"/>
      </w:pPr>
    </w:p>
    <w:p w:rsidR="005A7A4F" w:rsidRPr="007B6AF1" w:rsidRDefault="005A7A4F" w:rsidP="005A7A4F">
      <w:pPr>
        <w:spacing w:line="260" w:lineRule="atLeast"/>
      </w:pPr>
      <w:r w:rsidRPr="007B6AF1">
        <w:t xml:space="preserve">Daarom wijzigt dit wetsvoorstel de procedure voor het starten van nieuwe openbare en bijzondere scholen in het funderend onderwijs. Het begrip richting wordt op verschillende plaatsen uit de sectorwetten geschrapt. De godsdienstige of levensbeschouwelijke grondslag van een school zal geen rol meer spelen bij het besluit om een school voor bekostiging in aanmerking te laten komen. In het wetsvoorstel wordt voorgesteld om de huidige prognose om op basis van richting voldoende leerlingenpotentieel aan te tonen, te vervangen door een meting van daadwerkelijke belangstelling voor een nieuwe school. Of een school in aanmerking komt voor bekostiging wordt dan primair bepaald aan de hand van de vraag of de school in staat zal zijn voldoende leerlingen aan zich </w:t>
      </w:r>
      <w:proofErr w:type="gramStart"/>
      <w:r w:rsidRPr="007B6AF1">
        <w:t>te</w:t>
      </w:r>
      <w:proofErr w:type="gramEnd"/>
      <w:r w:rsidRPr="007B6AF1">
        <w:t xml:space="preserve"> binden. Een initiatief kan daarvoor gebruik maken van ouderverklaringen of een marktonderzoek. Aanvullend wordt deze belangstellingsmeting omgezet naar een prognose voor de lange termijn. </w:t>
      </w:r>
    </w:p>
    <w:p w:rsidR="005A7A4F" w:rsidRPr="007B6AF1" w:rsidRDefault="005A7A4F" w:rsidP="005A7A4F">
      <w:pPr>
        <w:spacing w:line="260" w:lineRule="atLeast"/>
      </w:pPr>
    </w:p>
    <w:p w:rsidR="005A7A4F" w:rsidRPr="007B6AF1" w:rsidRDefault="005A7A4F" w:rsidP="005A7A4F">
      <w:pPr>
        <w:spacing w:line="260" w:lineRule="atLeast"/>
      </w:pPr>
      <w:r w:rsidRPr="007B6AF1">
        <w:t xml:space="preserve">Naast deze kwantitatieve maatstaf, stelt de regering voor om het oordeel over een nieuwe school ook te baseren op waarborgen voor de te verwachten kwaliteit. In de huidige systematiek speelt de te verwachten kwaliteit geen enkele rol bij het besluit om een school al dan niet te bekostigen. Juist met het creëren van meer mogelijkheden voor nieuwe scholen, is het nodig om ervoor te zorgen dat alleen de scholen die naar verwachting voldoende kwaliteit zullen leveren, van start gaan. Dit sluit ook aan bij de verantwoordelijkheid van de regering om zorg te dragen voor de onderwijskwaliteit zoals opgenomen in artikel 23 Grondwet. </w:t>
      </w:r>
    </w:p>
    <w:p w:rsidR="005A7A4F" w:rsidRPr="007B6AF1" w:rsidRDefault="005A7A4F" w:rsidP="005A7A4F">
      <w:pPr>
        <w:spacing w:line="260" w:lineRule="atLeast"/>
      </w:pPr>
    </w:p>
    <w:p w:rsidR="005A7A4F" w:rsidRPr="007B6AF1" w:rsidRDefault="005A7A4F" w:rsidP="005A7A4F">
      <w:pPr>
        <w:spacing w:line="260" w:lineRule="atLeast"/>
      </w:pPr>
      <w:r w:rsidRPr="007B6AF1">
        <w:t xml:space="preserve">Omdat niet kan worden uitgesloten dat er een school van start gaat die in de praktijk toch onvoldoende kwaliteit levert, maakt dit wetsvoorstel het ook mogelijk om van nieuwe scholen eerder de bekostiging te beëindigen dan nu het geval is. Een nieuwe school die in het eerste jaar na de start slechte kwaliteit levert, en na een verbetertermijn van een jaar nog steeds tekortschiet, kan gesloten worden. </w:t>
      </w:r>
    </w:p>
    <w:p w:rsidR="005A7A4F" w:rsidRPr="007B6AF1" w:rsidRDefault="005A7A4F" w:rsidP="005A7A4F">
      <w:pPr>
        <w:spacing w:line="260" w:lineRule="atLeast"/>
      </w:pPr>
      <w:r w:rsidRPr="007B6AF1">
        <w:t xml:space="preserve"> </w:t>
      </w:r>
    </w:p>
    <w:p w:rsidR="005A7A4F" w:rsidRPr="007B6AF1" w:rsidRDefault="005A7A4F" w:rsidP="005A7A4F">
      <w:pPr>
        <w:spacing w:line="260" w:lineRule="atLeast"/>
      </w:pPr>
      <w:r w:rsidRPr="007B6AF1">
        <w:t xml:space="preserve">Met deze maatregelen zorgt het wetsvoorstel voor de dynamiek, het initiatief en de innovatie die nodig zijn om de onderwijssector eigentijds te houden. Het doet bovendien meer recht aan de </w:t>
      </w:r>
      <w:r w:rsidRPr="007B6AF1">
        <w:lastRenderedPageBreak/>
        <w:t xml:space="preserve">grondwettelijke vrijheid van onderwijs dan het huidige systeem gebaseerd op prognoses en vooronderstellingen over belangstelling voor een school van een bepaalde richting. De nieuwe systematiek biedt meer verschillende soorten initiatieven de mogelijkheid om </w:t>
      </w:r>
      <w:r>
        <w:t>een school te starten. Dat kan</w:t>
      </w:r>
      <w:proofErr w:type="gramStart"/>
      <w:r>
        <w:t xml:space="preserve"> -afhankelijk van de behoefte</w:t>
      </w:r>
      <w:r w:rsidRPr="007B6AF1">
        <w:t>-</w:t>
      </w:r>
      <w:proofErr w:type="gramEnd"/>
      <w:r w:rsidRPr="007B6AF1">
        <w:t xml:space="preserve"> een initiatief zijn voor een openbare school, een school op grond van een bepaalde geloofs- of levensovertuiging of een initiatief voor een school op pedagogische of andersoortige grondslag. Het belangrijkste is dat er scholen tot stand komen die beter aansluiten bij de daadwerkelijke belangstelling van leerlingen en ouders. In het voorstel gaat het scheppen van meer ruimte voor nieuwe scholen gepaard met de introductie van nieuwe waarborgen voor kwaliteit. Daarmee vormt de nieuwe procedure een balans tussen ruimte, kwaliteit en doelmatigheid.</w:t>
      </w:r>
    </w:p>
    <w:p w:rsidR="005A7A4F" w:rsidRPr="007B6AF1" w:rsidRDefault="005A7A4F" w:rsidP="005A7A4F">
      <w:pPr>
        <w:spacing w:line="260" w:lineRule="atLeast"/>
      </w:pPr>
    </w:p>
    <w:p w:rsidR="005A7A4F" w:rsidRPr="007B6AF1" w:rsidRDefault="005A7A4F" w:rsidP="005A7A4F">
      <w:pPr>
        <w:spacing w:line="260" w:lineRule="atLeast"/>
      </w:pPr>
      <w:r w:rsidRPr="007B6AF1">
        <w:t>De voorgestelde wijzigingen vinden zorgvuldig plaats, want leerlingen, ouders en leraren moeten kunnen rekenen op stabiel en toegankelijk onderwijs. Het uiteindelijke doel, zowel in gebieden met leerlingendaling als in stabiele en groeigebieden, is een toekomstbestendig, kwalitatief goed en gevarieerd onderwijsaanbod in de regio, dat aansluit bij de wensen van leerlingen en ouders.</w:t>
      </w:r>
    </w:p>
    <w:p w:rsidR="00327179" w:rsidRDefault="00327179" w:rsidP="005A7A4F"/>
    <w:sectPr w:rsidR="0032717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4F" w:rsidRDefault="005A7A4F" w:rsidP="005A7A4F">
      <w:pPr>
        <w:spacing w:line="240" w:lineRule="auto"/>
      </w:pPr>
      <w:r>
        <w:separator/>
      </w:r>
    </w:p>
  </w:endnote>
  <w:endnote w:type="continuationSeparator" w:id="0">
    <w:p w:rsidR="005A7A4F" w:rsidRDefault="005A7A4F" w:rsidP="005A7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4F" w:rsidRDefault="005A7A4F" w:rsidP="005A7A4F">
      <w:pPr>
        <w:spacing w:line="240" w:lineRule="auto"/>
      </w:pPr>
      <w:r>
        <w:separator/>
      </w:r>
    </w:p>
  </w:footnote>
  <w:footnote w:type="continuationSeparator" w:id="0">
    <w:p w:rsidR="005A7A4F" w:rsidRDefault="005A7A4F" w:rsidP="005A7A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Default="00B06C6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8073" o:spid="_x0000_s2050" type="#_x0000_t136" style="position:absolute;margin-left:0;margin-top:0;width:523.25pt;height:116.25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Default="00B06C62">
    <w:pPr>
      <w:pStyle w:val="Koptekst"/>
    </w:pPr>
    <w:r>
      <w:rPr>
        <w:rFonts w:asciiTheme="majorHAnsi" w:eastAsiaTheme="majorEastAsia" w:hAnsiTheme="majorHAnsi" w:cstheme="majorBidi"/>
        <w:color w:val="4F81BD" w:themeColor="accent1"/>
        <w:sz w:val="24"/>
      </w:rPr>
      <w:t>Ten behoeve van de regiobijeenkomsten MRvNS</w:t>
    </w:r>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um"/>
        <w:id w:val="78404859"/>
        <w:placeholder>
          <w:docPart w:val="9BA3D285E0174FEE857D51821D2C1F77"/>
        </w:placeholder>
        <w:dataBinding w:prefixMappings="xmlns:ns0='http://schemas.microsoft.com/office/2006/coverPageProps'" w:xpath="/ns0:CoverPageProperties[1]/ns0:PublishDate[1]" w:storeItemID="{55AF091B-3C7A-41E3-B477-F2FDAA23CFDA}"/>
        <w:date w:fullDate="2016-10-05T00:00:00Z">
          <w:dateFormat w:val="d MMMM yyyy"/>
          <w:lid w:val="nl-NL"/>
          <w:storeMappedDataAs w:val="dateTime"/>
          <w:calendar w:val="gregorian"/>
        </w:date>
      </w:sdtPr>
      <w:sdtContent>
        <w:r>
          <w:rPr>
            <w:rFonts w:asciiTheme="majorHAnsi" w:eastAsiaTheme="majorEastAsia" w:hAnsiTheme="majorHAnsi" w:cstheme="majorBidi"/>
            <w:color w:val="4F81BD" w:themeColor="accent1"/>
            <w:sz w:val="24"/>
          </w:rPr>
          <w:t>5 oktober 2016</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8074" o:spid="_x0000_s2051" type="#_x0000_t136" style="position:absolute;margin-left:0;margin-top:0;width:523.25pt;height:116.25pt;rotation:315;z-index:-25165312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Default="00B06C6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8072" o:spid="_x0000_s2049" type="#_x0000_t136" style="position:absolute;margin-left:0;margin-top:0;width:523.25pt;height:116.25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4F"/>
    <w:rsid w:val="00327179"/>
    <w:rsid w:val="005A7A4F"/>
    <w:rsid w:val="009C2C17"/>
    <w:rsid w:val="00A4655B"/>
    <w:rsid w:val="00B06C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7A4F"/>
    <w:pPr>
      <w:spacing w:after="0" w:line="24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7A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7A4F"/>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5A7A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7A4F"/>
    <w:rPr>
      <w:rFonts w:ascii="Verdana" w:eastAsia="Times New Roman" w:hAnsi="Verdana" w:cs="Times New Roman"/>
      <w:sz w:val="18"/>
      <w:szCs w:val="18"/>
      <w:lang w:eastAsia="nl-NL"/>
    </w:rPr>
  </w:style>
  <w:style w:type="paragraph" w:styleId="Ballontekst">
    <w:name w:val="Balloon Text"/>
    <w:basedOn w:val="Standaard"/>
    <w:link w:val="BallontekstChar"/>
    <w:uiPriority w:val="99"/>
    <w:semiHidden/>
    <w:unhideWhenUsed/>
    <w:rsid w:val="00B06C6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C6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7A4F"/>
    <w:pPr>
      <w:spacing w:after="0" w:line="24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7A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7A4F"/>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5A7A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7A4F"/>
    <w:rPr>
      <w:rFonts w:ascii="Verdana" w:eastAsia="Times New Roman" w:hAnsi="Verdana" w:cs="Times New Roman"/>
      <w:sz w:val="18"/>
      <w:szCs w:val="18"/>
      <w:lang w:eastAsia="nl-NL"/>
    </w:rPr>
  </w:style>
  <w:style w:type="paragraph" w:styleId="Ballontekst">
    <w:name w:val="Balloon Text"/>
    <w:basedOn w:val="Standaard"/>
    <w:link w:val="BallontekstChar"/>
    <w:uiPriority w:val="99"/>
    <w:semiHidden/>
    <w:unhideWhenUsed/>
    <w:rsid w:val="00B06C6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C6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A3D285E0174FEE857D51821D2C1F77"/>
        <w:category>
          <w:name w:val="Algemeen"/>
          <w:gallery w:val="placeholder"/>
        </w:category>
        <w:types>
          <w:type w:val="bbPlcHdr"/>
        </w:types>
        <w:behaviors>
          <w:behavior w:val="content"/>
        </w:behaviors>
        <w:guid w:val="{DAB4FE6C-8769-4367-A0C6-65C356878528}"/>
      </w:docPartPr>
      <w:docPartBody>
        <w:p w:rsidR="00000000" w:rsidRDefault="008E3B68" w:rsidP="008E3B68">
          <w:pPr>
            <w:pStyle w:val="9BA3D285E0174FEE857D51821D2C1F77"/>
          </w:pPr>
          <w:r>
            <w:rPr>
              <w:rFonts w:asciiTheme="majorHAnsi" w:eastAsiaTheme="majorEastAsia" w:hAnsiTheme="majorHAnsi" w:cstheme="majorBidi"/>
              <w:color w:val="4F81BD" w:themeColor="accent1"/>
              <w:sz w:val="24"/>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68"/>
    <w:rsid w:val="008E3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BA3D285E0174FEE857D51821D2C1F77">
    <w:name w:val="9BA3D285E0174FEE857D51821D2C1F77"/>
    <w:rsid w:val="008E3B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BA3D285E0174FEE857D51821D2C1F77">
    <w:name w:val="9BA3D285E0174FEE857D51821D2C1F77"/>
    <w:rsid w:val="008E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568BB-7A70-4E17-B991-300072B0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4507</Characters>
  <Application>Microsoft Office Word</Application>
  <DocSecurity>0</DocSecurity>
  <Lines>37</Lines>
  <Paragraphs>10</Paragraphs>
  <ScaleCrop>false</ScaleCrop>
  <Company>Ministerie van OCW</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Arts</dc:creator>
  <cp:lastModifiedBy>Jeroen Arts</cp:lastModifiedBy>
  <cp:revision>3</cp:revision>
  <dcterms:created xsi:type="dcterms:W3CDTF">2016-10-05T15:15:00Z</dcterms:created>
  <dcterms:modified xsi:type="dcterms:W3CDTF">2016-10-05T15:19:00Z</dcterms:modified>
</cp:coreProperties>
</file>